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5C" w:rsidRDefault="00B4355C" w:rsidP="00090A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</w:pPr>
    </w:p>
    <w:p w:rsidR="00E01228" w:rsidRDefault="00E01228" w:rsidP="00090A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</w:pPr>
      <w:r w:rsidRPr="00090AA3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  <w:t>Zasady dotyczące przyznawania ze środków PFRON osobie niepełnosprawnej środków na podjęcie działalności gospodarczej, rolniczej albo na wniesienie wkładu do spółdzielni socjalnej.</w:t>
      </w:r>
    </w:p>
    <w:p w:rsidR="00090AA3" w:rsidRPr="00090AA3" w:rsidRDefault="00090AA3" w:rsidP="00090A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</w:pPr>
    </w:p>
    <w:p w:rsidR="00090AA3" w:rsidRPr="00C6355A" w:rsidRDefault="00E01228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niepełnosprawna zarejestrowana w Powiatowym Urzędzie Pracy w Płocku jako osoba bezrobotna bądź poszukująca pracy niepozostająca w zatrudnieniu może ubiegać się o przyznanie </w:t>
      </w:r>
      <w:r w:rsidR="00BC0EF7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jednorazowo 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środków na podjęcie działalności gospodarczej do wysokości piętnastokrotności przeciętnego wynagrodzenia obowiąz</w:t>
      </w:r>
      <w:r w:rsidR="0084578D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ującego w dniu podpisania umowy, jeżeli nie otrzymała bezzwrotnych środków publicznych na ten cel.</w:t>
      </w:r>
    </w:p>
    <w:p w:rsidR="00E01228" w:rsidRPr="00C6355A" w:rsidRDefault="0084578D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01228" w:rsidRPr="00C6355A" w:rsidRDefault="00E01228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Jednorazowe środki z Państwowego Funduszu Rehabilitacji Osób Niepełnosprawnych</w:t>
      </w:r>
      <w:r w:rsidR="00A416F3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mogą być przyznane na:</w:t>
      </w:r>
    </w:p>
    <w:p w:rsidR="00E01228" w:rsidRPr="00C6355A" w:rsidRDefault="00E01228" w:rsidP="00090AA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podjęcie po raz pierwszy działalności:</w:t>
      </w:r>
    </w:p>
    <w:p w:rsidR="00E01228" w:rsidRPr="00C6355A" w:rsidRDefault="00E01228" w:rsidP="00090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-  gospodarczej w rozumieniu przepisów o swobodzie działalności gospodarczej,</w:t>
      </w:r>
    </w:p>
    <w:p w:rsidR="00E01228" w:rsidRPr="00C6355A" w:rsidRDefault="00E01228" w:rsidP="00090AA3">
      <w:pPr>
        <w:shd w:val="clear" w:color="auto" w:fill="FFFFFF"/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rolniczej w rozumieniu przepisów o ubezpieczeniu społecznym rolników, w tym polegającej na </w:t>
      </w:r>
      <w:r w:rsidR="00090AA3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prowadzeniu działów specjalnych produkcji rolnej, bez względu na formę prawną jej prowadzenia,</w:t>
      </w:r>
    </w:p>
    <w:p w:rsidR="00E01228" w:rsidRPr="00C6355A" w:rsidRDefault="00E01228" w:rsidP="00090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wniesienie po raz pierwszy</w:t>
      </w:r>
      <w:bookmarkStart w:id="0" w:name="_GoBack"/>
      <w:bookmarkEnd w:id="0"/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wkładu do spółdzielni socjalnej,</w:t>
      </w:r>
    </w:p>
    <w:p w:rsidR="0084578D" w:rsidRPr="00C6355A" w:rsidRDefault="00E01228" w:rsidP="00090A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ponowne podjęcie działalności lub ponowne wniesienie wkładu do spółdzielni socjalnej, jeżeli zgodnie z oświadczeniem osoby niepełnosprawnej upłynęło co najmniej 12 miesięcy od zaprzestania prowadzenia tej działalności lub ustania członkostwa w spółdzielni socjalnej, pod warunkiem nieotrzymania wcześniej</w:t>
      </w:r>
      <w:r w:rsidR="0084578D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bezzwrotnych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środków publicznych na podjęcie działalności gospodarczej, rolniczej albo wniesienie wkładu do spółdzielni socjalnej.</w:t>
      </w:r>
    </w:p>
    <w:p w:rsidR="0084578D" w:rsidRPr="00C6355A" w:rsidRDefault="0084578D" w:rsidP="0009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578D" w:rsidRPr="00C6355A" w:rsidRDefault="0084578D" w:rsidP="0009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Wniosek o przyznanie środków z PFRON składa się do starosty właściwego ze względu na miejsce zarejestrowania osoby niepełnosprawnej jako bezrobotna albo poszukująca pracy niepozostająca w zatrudnieniu. </w:t>
      </w:r>
    </w:p>
    <w:p w:rsidR="0084578D" w:rsidRPr="00C6355A" w:rsidRDefault="000752F9" w:rsidP="00090AA3">
      <w:pPr>
        <w:pStyle w:val="Tekstpodstawowy"/>
        <w:rPr>
          <w:sz w:val="20"/>
        </w:rPr>
      </w:pPr>
      <w:r>
        <w:rPr>
          <w:sz w:val="20"/>
        </w:rPr>
        <w:t>Wzór wniosku określa załącznik do rozporządzenia</w:t>
      </w:r>
      <w:r w:rsidR="0084578D" w:rsidRPr="00C6355A">
        <w:rPr>
          <w:sz w:val="20"/>
        </w:rPr>
        <w:t xml:space="preserve"> </w:t>
      </w:r>
      <w:r w:rsidR="0084578D" w:rsidRPr="00C6355A">
        <w:rPr>
          <w:bCs/>
          <w:sz w:val="20"/>
        </w:rPr>
        <w:t>Ministra Pracy i Polityki Społecznej z dnia 17 października 2007</w:t>
      </w:r>
      <w:r>
        <w:rPr>
          <w:bCs/>
          <w:sz w:val="20"/>
        </w:rPr>
        <w:t xml:space="preserve"> </w:t>
      </w:r>
      <w:r w:rsidR="0084578D" w:rsidRPr="00C6355A">
        <w:rPr>
          <w:bCs/>
          <w:sz w:val="20"/>
        </w:rPr>
        <w:t xml:space="preserve">r. w sprawie przyznania osobie niepełnosprawnej środków na podjęcie działalności gospodarczej, rolniczej albo na wniesienie wkładu do spółdzielni </w:t>
      </w:r>
      <w:r w:rsidR="0084578D" w:rsidRPr="00084D5C">
        <w:rPr>
          <w:bCs/>
          <w:sz w:val="20"/>
        </w:rPr>
        <w:t>socjalnej (</w:t>
      </w:r>
      <w:proofErr w:type="spellStart"/>
      <w:r w:rsidR="00410960" w:rsidRPr="00084D5C">
        <w:rPr>
          <w:bCs/>
          <w:sz w:val="20"/>
        </w:rPr>
        <w:t>t.j</w:t>
      </w:r>
      <w:proofErr w:type="spellEnd"/>
      <w:r w:rsidR="00410960" w:rsidRPr="00084D5C">
        <w:rPr>
          <w:bCs/>
          <w:sz w:val="20"/>
        </w:rPr>
        <w:t xml:space="preserve">. </w:t>
      </w:r>
      <w:r w:rsidR="0084578D" w:rsidRPr="00084D5C">
        <w:rPr>
          <w:bCs/>
          <w:sz w:val="20"/>
        </w:rPr>
        <w:t>Dz</w:t>
      </w:r>
      <w:r w:rsidR="0084578D" w:rsidRPr="00C6355A">
        <w:rPr>
          <w:bCs/>
          <w:sz w:val="20"/>
        </w:rPr>
        <w:t>. U.</w:t>
      </w:r>
      <w:r>
        <w:rPr>
          <w:bCs/>
          <w:sz w:val="20"/>
        </w:rPr>
        <w:t xml:space="preserve"> z 2015 poz. 102</w:t>
      </w:r>
      <w:r w:rsidR="0084578D" w:rsidRPr="00C6355A">
        <w:rPr>
          <w:sz w:val="20"/>
        </w:rPr>
        <w:t>).</w:t>
      </w:r>
    </w:p>
    <w:p w:rsidR="00090802" w:rsidRPr="00C6355A" w:rsidRDefault="00090802" w:rsidP="00090AA3">
      <w:pPr>
        <w:pStyle w:val="Tekstpodstawowy"/>
        <w:rPr>
          <w:sz w:val="20"/>
        </w:rPr>
      </w:pPr>
    </w:p>
    <w:p w:rsidR="00DE26E5" w:rsidRPr="00C6355A" w:rsidRDefault="00DE26E5" w:rsidP="0009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hAnsi="Times New Roman" w:cs="Times New Roman"/>
          <w:sz w:val="20"/>
          <w:szCs w:val="20"/>
        </w:rPr>
        <w:t>Ś</w:t>
      </w:r>
      <w:r w:rsidRPr="00C6355A">
        <w:rPr>
          <w:rFonts w:ascii="Times New Roman" w:eastAsia="Calibri" w:hAnsi="Times New Roman" w:cs="Times New Roman"/>
          <w:sz w:val="20"/>
          <w:szCs w:val="20"/>
        </w:rPr>
        <w:t xml:space="preserve">rodki z PFRON mogą być przyznawane jako </w:t>
      </w:r>
      <w:r w:rsidRPr="00C6355A">
        <w:rPr>
          <w:rFonts w:ascii="Times New Roman" w:eastAsia="Calibri" w:hAnsi="Times New Roman" w:cs="Times New Roman"/>
          <w:i/>
          <w:sz w:val="20"/>
          <w:szCs w:val="20"/>
        </w:rPr>
        <w:t xml:space="preserve">pomoc de </w:t>
      </w:r>
      <w:proofErr w:type="spellStart"/>
      <w:r w:rsidR="000752F9">
        <w:rPr>
          <w:rFonts w:ascii="Times New Roman" w:eastAsia="Calibri" w:hAnsi="Times New Roman" w:cs="Times New Roman"/>
          <w:i/>
          <w:sz w:val="20"/>
          <w:szCs w:val="20"/>
        </w:rPr>
        <w:t>minimis</w:t>
      </w:r>
      <w:proofErr w:type="spellEnd"/>
      <w:r w:rsidR="000752F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752F9">
        <w:rPr>
          <w:rFonts w:ascii="Times New Roman" w:eastAsia="Calibri" w:hAnsi="Times New Roman" w:cs="Times New Roman"/>
          <w:sz w:val="20"/>
          <w:szCs w:val="20"/>
        </w:rPr>
        <w:t>spełniająca warunki określone w</w:t>
      </w:r>
      <w:r w:rsidRPr="00C6355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D779F" w:rsidRPr="00C6355A" w:rsidRDefault="000752F9" w:rsidP="00090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rozporządzeniu Komisji (U</w:t>
      </w:r>
      <w:r w:rsidR="00DE26E5" w:rsidRPr="00C6355A">
        <w:rPr>
          <w:rFonts w:ascii="Times New Roman" w:eastAsia="Calibri" w:hAnsi="Times New Roman" w:cs="Times New Roman"/>
          <w:sz w:val="20"/>
          <w:szCs w:val="20"/>
        </w:rPr>
        <w:t xml:space="preserve">E) nr </w:t>
      </w:r>
      <w:r>
        <w:rPr>
          <w:rFonts w:ascii="Times New Roman" w:eastAsia="Calibri" w:hAnsi="Times New Roman" w:cs="Times New Roman"/>
          <w:sz w:val="20"/>
          <w:szCs w:val="20"/>
        </w:rPr>
        <w:t>1407/2013 z dnia 18 grudnia 2013 r. w sprawie stosowania art. 107 i 10</w:t>
      </w:r>
      <w:r w:rsidR="00DE26E5" w:rsidRPr="00C6355A">
        <w:rPr>
          <w:rFonts w:ascii="Times New Roman" w:eastAsia="Calibri" w:hAnsi="Times New Roman" w:cs="Times New Roman"/>
          <w:sz w:val="20"/>
          <w:szCs w:val="20"/>
        </w:rPr>
        <w:t>8 Traktatu</w:t>
      </w:r>
      <w:r>
        <w:rPr>
          <w:rFonts w:ascii="Times New Roman" w:eastAsia="Calibri" w:hAnsi="Times New Roman" w:cs="Times New Roman"/>
          <w:sz w:val="20"/>
          <w:szCs w:val="20"/>
        </w:rPr>
        <w:t xml:space="preserve"> o funkcjonowaniu Unii Europejskiej</w:t>
      </w:r>
      <w:r w:rsidR="00DE26E5" w:rsidRPr="00C6355A">
        <w:rPr>
          <w:rFonts w:ascii="Times New Roman" w:eastAsia="Calibri" w:hAnsi="Times New Roman" w:cs="Times New Roman"/>
          <w:sz w:val="20"/>
          <w:szCs w:val="20"/>
        </w:rPr>
        <w:t xml:space="preserve"> do pomocy </w:t>
      </w:r>
      <w:r w:rsidR="00DE26E5" w:rsidRPr="00C6355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="00DE26E5" w:rsidRPr="00C6355A">
        <w:rPr>
          <w:rFonts w:ascii="Times New Roman" w:eastAsia="Calibri" w:hAnsi="Times New Roman" w:cs="Times New Roman"/>
          <w:i/>
          <w:iCs/>
          <w:sz w:val="20"/>
          <w:szCs w:val="20"/>
        </w:rPr>
        <w:t>minimis</w:t>
      </w:r>
      <w:proofErr w:type="spellEnd"/>
      <w:r w:rsidR="00DE26E5" w:rsidRPr="00C6355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(Dz. Urz. UE L 352 z 24.12.2013, str. 1)</w:t>
      </w:r>
      <w:r w:rsidR="00DE26E5" w:rsidRPr="00C6355A">
        <w:rPr>
          <w:rFonts w:ascii="Times New Roman" w:eastAsia="Calibri" w:hAnsi="Times New Roman" w:cs="Times New Roman"/>
          <w:sz w:val="20"/>
          <w:szCs w:val="20"/>
        </w:rPr>
        <w:t>;</w:t>
      </w:r>
      <w:r w:rsidR="00090AA3" w:rsidRPr="00C6355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D779F" w:rsidRPr="000752F9" w:rsidRDefault="00DE26E5" w:rsidP="00090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52F9">
        <w:rPr>
          <w:rFonts w:ascii="Times New Roman" w:eastAsia="Calibri" w:hAnsi="Times New Roman" w:cs="Times New Roman"/>
          <w:sz w:val="20"/>
          <w:szCs w:val="20"/>
        </w:rPr>
        <w:t xml:space="preserve">rozporządzeniu </w:t>
      </w:r>
      <w:r w:rsidR="000752F9" w:rsidRPr="000752F9">
        <w:rPr>
          <w:rFonts w:ascii="Times New Roman" w:eastAsia="Calibri" w:hAnsi="Times New Roman" w:cs="Times New Roman"/>
          <w:sz w:val="20"/>
          <w:szCs w:val="20"/>
        </w:rPr>
        <w:t>1408/2013 z dnia 18.12.2013</w:t>
      </w:r>
      <w:r w:rsidRPr="000752F9">
        <w:rPr>
          <w:rFonts w:ascii="Times New Roman" w:eastAsia="Calibri" w:hAnsi="Times New Roman" w:cs="Times New Roman"/>
          <w:sz w:val="20"/>
          <w:szCs w:val="20"/>
        </w:rPr>
        <w:t xml:space="preserve"> r</w:t>
      </w:r>
      <w:r w:rsidR="000752F9" w:rsidRPr="000752F9">
        <w:rPr>
          <w:rFonts w:ascii="Times New Roman" w:eastAsia="Calibri" w:hAnsi="Times New Roman" w:cs="Times New Roman"/>
          <w:sz w:val="20"/>
          <w:szCs w:val="20"/>
        </w:rPr>
        <w:t>. w sprawie zastosowania art. 107 i 10</w:t>
      </w:r>
      <w:r w:rsidRPr="000752F9">
        <w:rPr>
          <w:rFonts w:ascii="Times New Roman" w:eastAsia="Calibri" w:hAnsi="Times New Roman" w:cs="Times New Roman"/>
          <w:sz w:val="20"/>
          <w:szCs w:val="20"/>
        </w:rPr>
        <w:t>8 Traktatu</w:t>
      </w:r>
      <w:r w:rsidR="000752F9" w:rsidRPr="000752F9">
        <w:rPr>
          <w:rFonts w:ascii="Times New Roman" w:eastAsia="Calibri" w:hAnsi="Times New Roman" w:cs="Times New Roman"/>
          <w:sz w:val="20"/>
          <w:szCs w:val="20"/>
        </w:rPr>
        <w:t xml:space="preserve"> o funkcjonowaniu Unii Europejskiej do pomocy</w:t>
      </w:r>
      <w:r w:rsidRPr="000752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52F9">
        <w:rPr>
          <w:rFonts w:ascii="Times New Roman" w:eastAsia="Calibri" w:hAnsi="Times New Roman" w:cs="Times New Roman"/>
          <w:i/>
          <w:sz w:val="20"/>
          <w:szCs w:val="20"/>
        </w:rPr>
        <w:t xml:space="preserve">de </w:t>
      </w:r>
      <w:proofErr w:type="spellStart"/>
      <w:r w:rsidRPr="000752F9">
        <w:rPr>
          <w:rFonts w:ascii="Times New Roman" w:eastAsia="Calibri" w:hAnsi="Times New Roman" w:cs="Times New Roman"/>
          <w:i/>
          <w:sz w:val="20"/>
          <w:szCs w:val="20"/>
        </w:rPr>
        <w:t>minimis</w:t>
      </w:r>
      <w:proofErr w:type="spellEnd"/>
      <w:r w:rsidRPr="000752F9">
        <w:rPr>
          <w:rFonts w:ascii="Times New Roman" w:eastAsia="Calibri" w:hAnsi="Times New Roman" w:cs="Times New Roman"/>
          <w:sz w:val="20"/>
          <w:szCs w:val="20"/>
        </w:rPr>
        <w:t xml:space="preserve"> w sektorze roln</w:t>
      </w:r>
      <w:r w:rsidR="000752F9" w:rsidRPr="000752F9">
        <w:rPr>
          <w:rFonts w:ascii="Times New Roman" w:eastAsia="Calibri" w:hAnsi="Times New Roman" w:cs="Times New Roman"/>
          <w:sz w:val="20"/>
          <w:szCs w:val="20"/>
        </w:rPr>
        <w:t>ym (Dz. Urz. UE L 352 z 24.12.2013</w:t>
      </w:r>
      <w:r w:rsidRPr="000752F9">
        <w:rPr>
          <w:rFonts w:ascii="Times New Roman" w:eastAsia="Calibri" w:hAnsi="Times New Roman" w:cs="Times New Roman"/>
          <w:sz w:val="20"/>
          <w:szCs w:val="20"/>
        </w:rPr>
        <w:t xml:space="preserve">, str. </w:t>
      </w:r>
      <w:r w:rsidR="000752F9" w:rsidRPr="000752F9">
        <w:rPr>
          <w:rFonts w:ascii="Times New Roman" w:eastAsia="Calibri" w:hAnsi="Times New Roman" w:cs="Times New Roman"/>
          <w:sz w:val="20"/>
          <w:szCs w:val="20"/>
        </w:rPr>
        <w:t>9</w:t>
      </w:r>
      <w:r w:rsidRPr="000752F9">
        <w:rPr>
          <w:rFonts w:ascii="Times New Roman" w:eastAsia="Calibri" w:hAnsi="Times New Roman" w:cs="Times New Roman"/>
          <w:sz w:val="20"/>
          <w:szCs w:val="20"/>
        </w:rPr>
        <w:t>) albo</w:t>
      </w:r>
      <w:r w:rsidR="000752F9" w:rsidRPr="000752F9">
        <w:rPr>
          <w:rFonts w:ascii="Times New Roman" w:eastAsia="Calibri" w:hAnsi="Times New Roman" w:cs="Times New Roman"/>
          <w:sz w:val="20"/>
          <w:szCs w:val="20"/>
        </w:rPr>
        <w:t xml:space="preserve"> we właściwych przepisach Unii Europejskiej dotyczących</w:t>
      </w:r>
      <w:r w:rsidR="000752F9">
        <w:rPr>
          <w:rFonts w:ascii="Times New Roman" w:eastAsia="Calibri" w:hAnsi="Times New Roman" w:cs="Times New Roman"/>
          <w:sz w:val="20"/>
          <w:szCs w:val="20"/>
        </w:rPr>
        <w:t xml:space="preserve"> pomocy</w:t>
      </w:r>
      <w:r w:rsidR="0019672E" w:rsidRPr="000752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9672E" w:rsidRPr="000752F9">
        <w:rPr>
          <w:rFonts w:ascii="Times New Roman" w:eastAsia="Calibri" w:hAnsi="Times New Roman" w:cs="Times New Roman"/>
          <w:i/>
          <w:sz w:val="20"/>
          <w:szCs w:val="20"/>
        </w:rPr>
        <w:t xml:space="preserve">de </w:t>
      </w:r>
      <w:proofErr w:type="spellStart"/>
      <w:r w:rsidR="0019672E" w:rsidRPr="000752F9">
        <w:rPr>
          <w:rFonts w:ascii="Times New Roman" w:eastAsia="Calibri" w:hAnsi="Times New Roman" w:cs="Times New Roman"/>
          <w:i/>
          <w:sz w:val="20"/>
          <w:szCs w:val="20"/>
        </w:rPr>
        <w:t>minimis</w:t>
      </w:r>
      <w:proofErr w:type="spellEnd"/>
      <w:r w:rsidR="000752F9">
        <w:rPr>
          <w:rFonts w:ascii="Times New Roman" w:eastAsia="Calibri" w:hAnsi="Times New Roman" w:cs="Times New Roman"/>
          <w:sz w:val="20"/>
          <w:szCs w:val="20"/>
        </w:rPr>
        <w:t xml:space="preserve"> w</w:t>
      </w:r>
      <w:r w:rsidR="0019672E" w:rsidRPr="000752F9">
        <w:rPr>
          <w:rFonts w:ascii="Times New Roman" w:eastAsia="Calibri" w:hAnsi="Times New Roman" w:cs="Times New Roman"/>
          <w:sz w:val="20"/>
          <w:szCs w:val="20"/>
        </w:rPr>
        <w:t xml:space="preserve"> sektor</w:t>
      </w:r>
      <w:r w:rsidR="000752F9">
        <w:rPr>
          <w:rFonts w:ascii="Times New Roman" w:eastAsia="Calibri" w:hAnsi="Times New Roman" w:cs="Times New Roman"/>
          <w:sz w:val="20"/>
          <w:szCs w:val="20"/>
        </w:rPr>
        <w:t>ze</w:t>
      </w:r>
      <w:r w:rsidR="0019672E" w:rsidRPr="000752F9">
        <w:rPr>
          <w:rFonts w:ascii="Times New Roman" w:eastAsia="Calibri" w:hAnsi="Times New Roman" w:cs="Times New Roman"/>
          <w:sz w:val="20"/>
          <w:szCs w:val="20"/>
        </w:rPr>
        <w:t xml:space="preserve"> rybołówstwa </w:t>
      </w:r>
      <w:r w:rsidR="000752F9">
        <w:rPr>
          <w:rFonts w:ascii="Times New Roman" w:eastAsia="Calibri" w:hAnsi="Times New Roman" w:cs="Times New Roman"/>
          <w:sz w:val="20"/>
          <w:szCs w:val="20"/>
        </w:rPr>
        <w:t xml:space="preserve">i akwakultury. </w:t>
      </w:r>
      <w:r w:rsidRPr="000752F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E26E5" w:rsidRPr="00C6355A" w:rsidRDefault="00DE26E5" w:rsidP="00AD7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 xml:space="preserve">Wnioskodawca korzystający z pomocy na podstawie niniejszej umowy jest zobowiązany do przechowywania dokumentacji dotyczącej przyznanej pomocy </w:t>
      </w:r>
      <w:r w:rsidRPr="00C6355A">
        <w:rPr>
          <w:rFonts w:ascii="Times New Roman" w:eastAsia="Calibri" w:hAnsi="Times New Roman" w:cs="Times New Roman"/>
          <w:i/>
          <w:sz w:val="20"/>
          <w:szCs w:val="20"/>
        </w:rPr>
        <w:t xml:space="preserve">de </w:t>
      </w:r>
      <w:proofErr w:type="spellStart"/>
      <w:r w:rsidRPr="00C6355A">
        <w:rPr>
          <w:rFonts w:ascii="Times New Roman" w:eastAsia="Calibri" w:hAnsi="Times New Roman" w:cs="Times New Roman"/>
          <w:i/>
          <w:sz w:val="20"/>
          <w:szCs w:val="20"/>
        </w:rPr>
        <w:t>minimis</w:t>
      </w:r>
      <w:proofErr w:type="spellEnd"/>
      <w:r w:rsidRPr="00C6355A">
        <w:rPr>
          <w:rFonts w:ascii="Times New Roman" w:eastAsia="Calibri" w:hAnsi="Times New Roman" w:cs="Times New Roman"/>
          <w:sz w:val="20"/>
          <w:szCs w:val="20"/>
        </w:rPr>
        <w:t xml:space="preserve"> przez okres 10 lat od dnia przyznania pomocy.</w:t>
      </w:r>
    </w:p>
    <w:p w:rsidR="00DE26E5" w:rsidRPr="00C6355A" w:rsidRDefault="00DE26E5" w:rsidP="00090AA3">
      <w:pPr>
        <w:pStyle w:val="Tekstpodstawowy"/>
        <w:rPr>
          <w:sz w:val="20"/>
        </w:rPr>
      </w:pPr>
    </w:p>
    <w:p w:rsidR="00090802" w:rsidRPr="00C6355A" w:rsidRDefault="00090802" w:rsidP="00090A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W</w:t>
      </w:r>
      <w:r w:rsidRPr="00C6355A">
        <w:rPr>
          <w:rFonts w:ascii="Times New Roman" w:hAnsi="Times New Roman" w:cs="Times New Roman"/>
          <w:sz w:val="20"/>
          <w:szCs w:val="20"/>
        </w:rPr>
        <w:t>yżej wymienione środki udzielane</w:t>
      </w:r>
      <w:r w:rsidRPr="00C6355A">
        <w:rPr>
          <w:rFonts w:ascii="Times New Roman" w:eastAsia="Calibri" w:hAnsi="Times New Roman" w:cs="Times New Roman"/>
          <w:sz w:val="20"/>
          <w:szCs w:val="20"/>
        </w:rPr>
        <w:t xml:space="preserve"> są na zakup:</w:t>
      </w:r>
    </w:p>
    <w:p w:rsidR="00090802" w:rsidRPr="00C6355A" w:rsidRDefault="00090802" w:rsidP="00AD779F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maszyn, urządzeń i innych rzeczy bądź przedmiotów, które charakteryzują się dłuższym okresem użytkowania oraz są zdatne do użytku i używania na potrzeby działalności,</w:t>
      </w:r>
    </w:p>
    <w:p w:rsidR="00090802" w:rsidRPr="00C6355A" w:rsidRDefault="00090802" w:rsidP="00AD779F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wyposażenia lokalu w przedmioty niezbędne do prowadzenia działalności,</w:t>
      </w:r>
    </w:p>
    <w:p w:rsidR="00090802" w:rsidRPr="00C6355A" w:rsidRDefault="00090802" w:rsidP="00AD779F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samochodu, gdy konieczność zakupu samochodu w oczywisty sposób pozostaje w związku z podejmowanym rodzajem działalności. Wyłącznym właścicielem samochodu musi być osoba, której przyznano środki na podjęcie działalności. W przypadku kiedy koszty zakupu samochodu przekroczą kwotę dofinansowania to powstała różnica powinna być pokryta wyłącznie ze środków własnych wnioskodawcy,</w:t>
      </w:r>
    </w:p>
    <w:p w:rsidR="00090802" w:rsidRPr="00C6355A" w:rsidRDefault="00090802" w:rsidP="00AD779F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surowców, materiałów, towarów koniecznych do uruchomienia działalności,</w:t>
      </w:r>
    </w:p>
    <w:p w:rsidR="00BD2937" w:rsidRPr="00844D28" w:rsidRDefault="00090802" w:rsidP="00844D28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 xml:space="preserve"> materiałów do wykonania adaptacji lokalu do celów prowadzenia działalności gospodarczej /do 25% </w:t>
      </w:r>
      <w:r w:rsidR="00AD779F" w:rsidRPr="00C63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355A">
        <w:rPr>
          <w:rFonts w:ascii="Times New Roman" w:eastAsia="Calibri" w:hAnsi="Times New Roman" w:cs="Times New Roman"/>
          <w:sz w:val="20"/>
          <w:szCs w:val="20"/>
        </w:rPr>
        <w:t>wnioskowanej kwoty/.</w:t>
      </w:r>
    </w:p>
    <w:p w:rsidR="0084578D" w:rsidRPr="00C6355A" w:rsidRDefault="0084578D" w:rsidP="0009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71E9" w:rsidRPr="00C6355A" w:rsidRDefault="00AE71E9" w:rsidP="00090A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Środki PFRON nie mogą być udzielane na: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działalność w innej formie niż jednoosobowa firma,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wydatki inwestycyjne obejmujące koszty budowy lokalu,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koszty reklamy i promocji firmy (z wyjątkiem szyldu informacyjnego),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opłaty administracyjne i skarbowe (podatki, koncesje) oraz składki ZUS</w:t>
      </w:r>
      <w:r w:rsidR="00AD779F" w:rsidRPr="00C6355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prowadzenie handlu obwoźnego,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6355A">
        <w:rPr>
          <w:rFonts w:ascii="Times New Roman" w:eastAsia="Calibri" w:hAnsi="Times New Roman" w:cs="Times New Roman"/>
          <w:bCs/>
          <w:sz w:val="20"/>
          <w:szCs w:val="20"/>
        </w:rPr>
        <w:t xml:space="preserve">działalność w zakresie przewozu osób (taxi osobowe), 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zakup nieruchomości,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działalność tej samej branży prowadzoną pod tym samym adresem przez osobę spokrewnioną w I stopniu pokrewieństwa z wnioskodawcą, jeżeli od zaprzestania tej działalności upłynął okres krótszy niż 6 miesięcy lub posiadane przez PUP informacje wskazują, że złożony wniosek ma na celu dofinansowanie dotychczas lub aktual</w:t>
      </w:r>
      <w:r w:rsidR="00AD779F" w:rsidRPr="00C6355A">
        <w:rPr>
          <w:rFonts w:ascii="Times New Roman" w:eastAsia="Calibri" w:hAnsi="Times New Roman" w:cs="Times New Roman"/>
          <w:sz w:val="20"/>
          <w:szCs w:val="20"/>
        </w:rPr>
        <w:t>nie funkcjonującej działalności,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zakup wszelkiego rodzaju pojazdów przy rozpoczyn</w:t>
      </w:r>
      <w:r w:rsidR="00AD779F" w:rsidRPr="00C6355A">
        <w:rPr>
          <w:rFonts w:ascii="Times New Roman" w:eastAsia="Calibri" w:hAnsi="Times New Roman" w:cs="Times New Roman"/>
          <w:sz w:val="20"/>
          <w:szCs w:val="20"/>
        </w:rPr>
        <w:t>aniu działalności transportowej,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lastRenderedPageBreak/>
        <w:t>działalność gospodarczą prowadzoną wyłącznie poza granicami powiatu płockiego i powiatów ościennych</w:t>
      </w:r>
      <w:r w:rsidR="00AD779F" w:rsidRPr="00C6355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zakup akcji, obligacji, udziałów w spółkach</w:t>
      </w:r>
      <w:r w:rsidR="00AD779F" w:rsidRPr="00C6355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zakup materiałów do remontu, w przypadku kiedy działalność w głównej mierze prowadzona będzie poza lokalem wskazanym do remontu</w:t>
      </w:r>
      <w:r w:rsidR="00AD779F" w:rsidRPr="00C6355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E71E9" w:rsidRPr="00C6355A" w:rsidRDefault="00AE71E9" w:rsidP="00AD779F">
      <w:pPr>
        <w:pStyle w:val="Akapitzlist"/>
        <w:numPr>
          <w:ilvl w:val="0"/>
          <w:numId w:val="14"/>
        </w:num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leasing maszyn, urządzeń i pojazdów</w:t>
      </w:r>
      <w:r w:rsidR="00AD779F" w:rsidRPr="00C6355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E71E9" w:rsidRDefault="00AE71E9" w:rsidP="00AD779F">
      <w:pPr>
        <w:pStyle w:val="Akapitzlist"/>
        <w:numPr>
          <w:ilvl w:val="0"/>
          <w:numId w:val="14"/>
        </w:num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zakup ruchomości od wstępnych, zstępnych, teściów, rodzeństwa i współmałżonka, jeżeli prowadzą wspólne gospodarstwo domowe.</w:t>
      </w:r>
    </w:p>
    <w:p w:rsidR="00CA4544" w:rsidRPr="00844D28" w:rsidRDefault="00CA4544" w:rsidP="00844D28">
      <w:pPr>
        <w:tabs>
          <w:tab w:val="left" w:pos="10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B050"/>
          <w:sz w:val="20"/>
          <w:szCs w:val="20"/>
          <w:highlight w:val="yellow"/>
        </w:rPr>
      </w:pPr>
    </w:p>
    <w:p w:rsidR="00AE71E9" w:rsidRPr="00C6355A" w:rsidRDefault="00AE71E9" w:rsidP="00253E8D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 xml:space="preserve">W szczególnie uzasadnionym przypadku Dyrektor PUP w Płocku po zasięgnięciu opinii Starosty Płockiego może wyrazić zgodę na inny sposób wydatkowania środków. </w:t>
      </w:r>
    </w:p>
    <w:p w:rsidR="00AE71E9" w:rsidRPr="00C6355A" w:rsidRDefault="00AE71E9" w:rsidP="00090AA3">
      <w:pPr>
        <w:tabs>
          <w:tab w:val="left" w:pos="1000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</w:p>
    <w:p w:rsidR="00AE71E9" w:rsidRPr="00C6355A" w:rsidRDefault="00AE71E9" w:rsidP="00090AA3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 xml:space="preserve">Wnioski </w:t>
      </w:r>
      <w:r w:rsidRPr="00C6355A">
        <w:rPr>
          <w:rFonts w:ascii="Times New Roman" w:eastAsia="Calibri" w:hAnsi="Times New Roman" w:cs="Times New Roman"/>
          <w:bCs/>
          <w:sz w:val="20"/>
          <w:szCs w:val="20"/>
        </w:rPr>
        <w:t>na podjęcie działalności gospodarczej</w:t>
      </w:r>
      <w:r w:rsidRPr="00C6355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6355A">
        <w:rPr>
          <w:rFonts w:ascii="Times New Roman" w:eastAsia="Calibri" w:hAnsi="Times New Roman" w:cs="Times New Roman"/>
          <w:bCs/>
          <w:sz w:val="20"/>
          <w:szCs w:val="20"/>
        </w:rPr>
        <w:t xml:space="preserve">rolniczej albo na wniesienie wkładu do spółdzielni socjalnej </w:t>
      </w:r>
      <w:r w:rsidRPr="00C6355A">
        <w:rPr>
          <w:rFonts w:ascii="Times New Roman" w:eastAsia="Calibri" w:hAnsi="Times New Roman" w:cs="Times New Roman"/>
          <w:sz w:val="20"/>
          <w:szCs w:val="20"/>
        </w:rPr>
        <w:t xml:space="preserve">rozpatrywane są przez Dyrektora Powiatowego Urzędu Pracy w Płocku upoważnionego przez Starostę Płockiego według kolejności zgłoszeń, wynikającej z rejestru wpływających wniosków. </w:t>
      </w:r>
      <w:r w:rsidRPr="00C6355A">
        <w:rPr>
          <w:rFonts w:ascii="Times New Roman" w:eastAsia="Calibri" w:hAnsi="Times New Roman" w:cs="Times New Roman"/>
          <w:bCs/>
          <w:sz w:val="20"/>
          <w:szCs w:val="20"/>
        </w:rPr>
        <w:t xml:space="preserve">O uwzględnieniu lub odmowie uwzględnienia wniosku </w:t>
      </w:r>
      <w:r w:rsidR="00E21EB5" w:rsidRPr="00C6355A">
        <w:rPr>
          <w:rFonts w:ascii="Times New Roman" w:eastAsia="Calibri" w:hAnsi="Times New Roman" w:cs="Times New Roman"/>
          <w:bCs/>
          <w:sz w:val="20"/>
          <w:szCs w:val="20"/>
        </w:rPr>
        <w:t>Starosta</w:t>
      </w:r>
      <w:r w:rsidRPr="00C6355A">
        <w:rPr>
          <w:rFonts w:ascii="Times New Roman" w:eastAsia="Calibri" w:hAnsi="Times New Roman" w:cs="Times New Roman"/>
          <w:bCs/>
          <w:sz w:val="20"/>
          <w:szCs w:val="20"/>
        </w:rPr>
        <w:t xml:space="preserve"> powiadamia osobę niepełnosprawną w formie pisemnej w terminie 30 dni od dnia złożenia wniosku i innych niezbędnych do jego rozpatrzenia dokumentów. W przypadku negatywnego rozpatrzenia wniosku sporządzane jest uzasadnienie.</w:t>
      </w:r>
    </w:p>
    <w:p w:rsidR="00A35995" w:rsidRPr="00C6355A" w:rsidRDefault="00A35995" w:rsidP="00090AA3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1228" w:rsidRPr="00C6355A" w:rsidRDefault="00E01228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rozpatrywaniu wniosku </w:t>
      </w:r>
      <w:r w:rsidR="00E21EB5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bierze pod uwagę:</w:t>
      </w:r>
    </w:p>
    <w:p w:rsidR="00E01228" w:rsidRPr="00C6355A" w:rsidRDefault="00E01228" w:rsidP="00090A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przewidywane efekty ekonomiczne przedsięwzięcia,</w:t>
      </w:r>
      <w:r w:rsidR="00AE71E9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 mają b</w:t>
      </w:r>
      <w:r w:rsidR="00AF14F4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yć przeznaczone środki,</w:t>
      </w:r>
    </w:p>
    <w:p w:rsidR="00E01228" w:rsidRPr="00C6355A" w:rsidRDefault="00E01228" w:rsidP="00090A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popyt i podaż lokalnego rynku pracy na planowaną działalność,</w:t>
      </w:r>
    </w:p>
    <w:p w:rsidR="00E01228" w:rsidRPr="00C6355A" w:rsidRDefault="00E01228" w:rsidP="00090A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kalkulację wydatk</w:t>
      </w:r>
      <w:r w:rsidR="00AF14F4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ów na uruchomienie działalności w ramach wnioskowanych środków,</w:t>
      </w:r>
    </w:p>
    <w:p w:rsidR="00E01228" w:rsidRPr="00C6355A" w:rsidRDefault="00E01228" w:rsidP="00090A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uprawnienia i kwalifikacje </w:t>
      </w:r>
      <w:r w:rsidR="00AF14F4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01228" w:rsidRPr="00C6355A" w:rsidRDefault="00E01228" w:rsidP="00090A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środków własnych</w:t>
      </w:r>
      <w:r w:rsidR="00AF14F4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wnioskodawcy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F14F4" w:rsidRPr="00C6355A" w:rsidRDefault="00AF14F4" w:rsidP="00090A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posiadanych środków PFRON p</w:t>
      </w:r>
      <w:r w:rsidR="00A35995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rzeznaczonych na opisywany cel</w:t>
      </w:r>
      <w:r w:rsidR="005C4F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danym roku</w:t>
      </w:r>
      <w:r w:rsidR="00A35995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DE26E5" w:rsidRPr="00C6355A" w:rsidRDefault="00A35995" w:rsidP="00090A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DE26E5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pinię Członków Komisji ds. </w:t>
      </w:r>
      <w:r w:rsidR="00DE26E5" w:rsidRPr="00C6355A">
        <w:rPr>
          <w:rFonts w:ascii="Times New Roman" w:eastAsia="Calibri" w:hAnsi="Times New Roman" w:cs="Times New Roman"/>
          <w:bCs/>
          <w:sz w:val="20"/>
          <w:szCs w:val="20"/>
        </w:rPr>
        <w:t xml:space="preserve">opiniowania wniosków o przyznawanie </w:t>
      </w:r>
      <w:r w:rsidR="00DE26E5" w:rsidRPr="00C6355A">
        <w:rPr>
          <w:rFonts w:ascii="Times New Roman" w:eastAsia="Calibri" w:hAnsi="Times New Roman" w:cs="Times New Roman"/>
          <w:sz w:val="20"/>
          <w:szCs w:val="20"/>
        </w:rPr>
        <w:t>osobie niepełnosprawnej środków na podjęcie działalności gospodarczej, rolniczej albo na wniesienie wkładu do spółdzielni socjalnej oraz wniosków o refundację kosztów wyposażenia stanowiska pracy dla osoby niepełnosprawnej</w:t>
      </w:r>
      <w:r w:rsidR="00692729" w:rsidRPr="00C6355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161B9" w:rsidRPr="00C6355A" w:rsidRDefault="00692729" w:rsidP="00090A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Kryteria</w:t>
      </w:r>
      <w:r w:rsidR="00B62C4B" w:rsidRPr="00C6355A">
        <w:rPr>
          <w:rFonts w:ascii="Times New Roman" w:eastAsia="Calibri" w:hAnsi="Times New Roman" w:cs="Times New Roman"/>
          <w:sz w:val="20"/>
          <w:szCs w:val="20"/>
        </w:rPr>
        <w:t xml:space="preserve"> przyznawania osobom niepełnosprawnym środków na podjęcie działalności </w:t>
      </w:r>
      <w:r w:rsidR="00A16ADE" w:rsidRPr="00C6355A">
        <w:rPr>
          <w:rFonts w:ascii="Times New Roman" w:eastAsia="Calibri" w:hAnsi="Times New Roman" w:cs="Times New Roman"/>
          <w:sz w:val="20"/>
          <w:szCs w:val="20"/>
        </w:rPr>
        <w:t>gospodarczej, rolniczej albo na wniesienie wkładu do spółdzielni socjalnej stanowią załącznik do zarządzenia nr 11/4/2009 Dyrektora PUP w Płocku z dnia 04.05.2009 r.</w:t>
      </w:r>
    </w:p>
    <w:p w:rsidR="00A16ADE" w:rsidRPr="00C6355A" w:rsidRDefault="00A16ADE" w:rsidP="00A16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C2E89" w:rsidRPr="00084D5C" w:rsidRDefault="00EC2E89" w:rsidP="00090A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4D5C">
        <w:rPr>
          <w:rFonts w:ascii="Times New Roman" w:hAnsi="Times New Roman" w:cs="Times New Roman"/>
          <w:sz w:val="20"/>
          <w:szCs w:val="20"/>
          <w:shd w:val="clear" w:color="auto" w:fill="FFFFFF"/>
        </w:rPr>
        <w:t>W przypadku pozytywnego rozpatrzenia wniosku Starosta informuje pisemnie wnioskodawcę o rozpatrzeniu wniosku, wzywając go do negocjacji warunków umowy. Negocjacje powinny zakończyć się w terminie 14 dni od dnia doręczenia wezwania.</w:t>
      </w:r>
      <w:r w:rsidR="00AE18E7" w:rsidRPr="00084D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C2E89" w:rsidRDefault="00EC2E89" w:rsidP="00090A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61B9" w:rsidRPr="00C6355A" w:rsidRDefault="00A161B9" w:rsidP="00090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sz w:val="20"/>
          <w:szCs w:val="20"/>
        </w:rPr>
        <w:t>Umowy o udzielenie w</w:t>
      </w:r>
      <w:r w:rsidRPr="00C6355A">
        <w:rPr>
          <w:rFonts w:ascii="Times New Roman" w:hAnsi="Times New Roman" w:cs="Times New Roman"/>
          <w:sz w:val="20"/>
          <w:szCs w:val="20"/>
        </w:rPr>
        <w:t xml:space="preserve">yżej wymienionych </w:t>
      </w:r>
      <w:r w:rsidRPr="00C6355A">
        <w:rPr>
          <w:rFonts w:ascii="Times New Roman" w:eastAsia="Calibri" w:hAnsi="Times New Roman" w:cs="Times New Roman"/>
          <w:sz w:val="20"/>
          <w:szCs w:val="20"/>
        </w:rPr>
        <w:t xml:space="preserve">środków zawierane są w formie pisemnej </w:t>
      </w:r>
      <w:r w:rsidRPr="00C6355A">
        <w:rPr>
          <w:rFonts w:ascii="Times New Roman" w:eastAsia="Calibri" w:hAnsi="Times New Roman" w:cs="Times New Roman"/>
          <w:bCs/>
          <w:sz w:val="20"/>
          <w:szCs w:val="20"/>
        </w:rPr>
        <w:t xml:space="preserve">pod rygorem nieważności, </w:t>
      </w:r>
      <w:r w:rsidRPr="00C6355A">
        <w:rPr>
          <w:rFonts w:ascii="Times New Roman" w:eastAsia="Calibri" w:hAnsi="Times New Roman" w:cs="Times New Roman"/>
          <w:sz w:val="20"/>
          <w:szCs w:val="20"/>
        </w:rPr>
        <w:t>w oparciu o ramowe wzory.</w:t>
      </w:r>
    </w:p>
    <w:p w:rsidR="00A161B9" w:rsidRPr="00C6355A" w:rsidRDefault="00A161B9" w:rsidP="00090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228" w:rsidRPr="00C6355A" w:rsidRDefault="00E01228" w:rsidP="00090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o przyznanie jednorazowych środków obejmuje w szczególności:</w:t>
      </w:r>
    </w:p>
    <w:p w:rsidR="00E01228" w:rsidRPr="00C6355A" w:rsidRDefault="00E01228" w:rsidP="00A35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a) </w:t>
      </w:r>
      <w:r w:rsidRPr="00C635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zobowiązanie </w:t>
      </w:r>
      <w:r w:rsidR="00A35995" w:rsidRPr="00C635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Starosty</w:t>
      </w:r>
      <w:r w:rsidRPr="00C635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do: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wypłaty środków, w kwocie ustalonej w wyniku negocjacji,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jednokrotnego</w:t>
      </w:r>
      <w:r w:rsidR="00DE26E5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zweryfikowania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61B9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prawidłowości realizacji warunków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umowy</w:t>
      </w:r>
      <w:r w:rsidR="00A161B9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wnioskodawcę 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A161B9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czasie 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obowiązywania umowy,</w:t>
      </w:r>
    </w:p>
    <w:p w:rsidR="00E01228" w:rsidRPr="00C6355A" w:rsidRDefault="00E01228" w:rsidP="00A35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b) </w:t>
      </w:r>
      <w:r w:rsidRPr="00C635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zobowiązanie </w:t>
      </w:r>
      <w:r w:rsidR="00A161B9" w:rsidRPr="00C635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wnioskodawcy</w:t>
      </w:r>
      <w:r w:rsidRPr="00C635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między innymi do: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przeznaczenia środków na cel określony w umowie,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prowadzenia działalności, lub członkowstwa w spółdzielni socjalnej przez okres co najmniej 24 miesięcy, </w:t>
      </w:r>
      <w:r w:rsidR="00BA1591">
        <w:rPr>
          <w:rFonts w:ascii="Times New Roman" w:eastAsia="Times New Roman" w:hAnsi="Times New Roman" w:cs="Times New Roman"/>
          <w:sz w:val="20"/>
          <w:szCs w:val="20"/>
          <w:lang w:eastAsia="pl-PL"/>
        </w:rPr>
        <w:t>przy czym do okresu prowadzenia działalności gospodarczej wlicza się okresy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choroby, powołania do odbycia zasadniczej służby wojskowej</w:t>
      </w:r>
      <w:r w:rsidR="00BA1591">
        <w:rPr>
          <w:rFonts w:ascii="Times New Roman" w:eastAsia="Times New Roman" w:hAnsi="Times New Roman" w:cs="Times New Roman"/>
          <w:sz w:val="20"/>
          <w:szCs w:val="20"/>
          <w:lang w:eastAsia="pl-PL"/>
        </w:rPr>
        <w:t>, skierowania do odbycia służby zastępczej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korzystania ze świadczenia rehabilitacyjnego</w:t>
      </w:r>
      <w:r w:rsidR="00CC334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;</w:t>
      </w:r>
      <w:r w:rsidR="00BA15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wlicza </w:t>
      </w:r>
      <w:r w:rsidR="00BA1591" w:rsidRPr="00084D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CC334F" w:rsidRPr="00084D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natomiast </w:t>
      </w:r>
      <w:r w:rsidR="00BA1591" w:rsidRPr="00084D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okresu </w:t>
      </w:r>
      <w:r w:rsidR="00BA1591">
        <w:rPr>
          <w:rFonts w:ascii="Times New Roman" w:eastAsia="Times New Roman" w:hAnsi="Times New Roman" w:cs="Times New Roman"/>
          <w:sz w:val="20"/>
          <w:szCs w:val="20"/>
          <w:lang w:eastAsia="pl-PL"/>
        </w:rPr>
        <w:t>jej zawieszenia,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udokumentowania </w:t>
      </w:r>
      <w:r w:rsidR="00A161B9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umowy,</w:t>
      </w:r>
      <w:r w:rsidR="00A161B9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wezwanie Dyrektora PUP w Płocku,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umożliwienia upoważnionym pracownikom Urzędu przeprowadzania kontroli </w:t>
      </w:r>
      <w:r w:rsidR="00A161B9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prawidłowego 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wykonywania warunków umowy,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informowania Urzędu o wszelkich zmianach dotyczących realizacji umowy w terminie 7 dni od dnia wystąpienia tych zmian,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rozpoczęcia działalności w terminie określonym w umowie,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otrzymanych środków w terminie określonym w umowie,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otrzymanych środków oraz odsetek</w:t>
      </w:r>
      <w:r w:rsidR="006D3B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środków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, naliczonych od dnia ich otrzymania w wysokości określonej jak dla zaległości podatkowych, w terminie 3 miesięcy od dnia otrzymania wezwania z Urzędu do zapłaty lub ujawnienia naruszenia co najmniej jednego z warunków umowy,</w:t>
      </w:r>
    </w:p>
    <w:p w:rsidR="00A35995" w:rsidRPr="00C6355A" w:rsidRDefault="00E01228" w:rsidP="00A3599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zabezpieczenia zwrotu </w:t>
      </w:r>
      <w:r w:rsidR="00C75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kwoty 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środków</w:t>
      </w:r>
      <w:r w:rsidR="00A35995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formie:</w:t>
      </w:r>
    </w:p>
    <w:p w:rsidR="00A35995" w:rsidRPr="00C6355A" w:rsidRDefault="00A35995" w:rsidP="00A35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- poręczenia</w:t>
      </w:r>
      <w:r w:rsidR="00C75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poręczenia spółdzielni socjalnej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35995" w:rsidRPr="00C6355A" w:rsidRDefault="00A35995" w:rsidP="00A35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- weksla z poręczeniem wekslowym (awal),</w:t>
      </w:r>
    </w:p>
    <w:p w:rsidR="00A35995" w:rsidRPr="00C6355A" w:rsidRDefault="00A35995" w:rsidP="00A35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- gwarancji bankowej,</w:t>
      </w:r>
    </w:p>
    <w:p w:rsidR="00A35995" w:rsidRPr="00C6355A" w:rsidRDefault="00C75D42" w:rsidP="00A35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zastawu na prawach lub</w:t>
      </w:r>
      <w:r w:rsidR="00A35995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rzeczach,</w:t>
      </w:r>
    </w:p>
    <w:p w:rsidR="00A35995" w:rsidRPr="00C6355A" w:rsidRDefault="00A35995" w:rsidP="00A35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- blokady rachunku bankowego,</w:t>
      </w:r>
    </w:p>
    <w:p w:rsidR="00A35995" w:rsidRPr="00C6355A" w:rsidRDefault="00A35995" w:rsidP="00A35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- aktu notarialnego o poddaniu się egzekucji przez dłużnika.</w:t>
      </w:r>
    </w:p>
    <w:p w:rsidR="00DE26E5" w:rsidRPr="00084D5C" w:rsidRDefault="00084D5C" w:rsidP="00084D5C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84D5C">
        <w:rPr>
          <w:rFonts w:ascii="Times New Roman" w:eastAsiaTheme="minorEastAsia" w:hAnsi="Times New Roman" w:cs="Times New Roman"/>
          <w:bCs/>
          <w:sz w:val="20"/>
          <w:lang w:eastAsia="pl-PL"/>
        </w:rPr>
        <w:lastRenderedPageBreak/>
        <w:t>Preferowaną formą zabezpieczenia ewentualnego zwrotu środków jest poręczenie, czyli</w:t>
      </w:r>
      <w:r w:rsidRPr="00084D5C">
        <w:rPr>
          <w:rFonts w:ascii="Times New Roman" w:eastAsiaTheme="minorEastAsia" w:hAnsi="Times New Roman" w:cs="Times New Roman"/>
          <w:sz w:val="20"/>
          <w:lang w:eastAsia="pl-PL"/>
        </w:rPr>
        <w:t xml:space="preserve"> poręczyciele, w wieku do 70. roku życia, z przeciętnym  miesięcznym dochodem netto z ostatnich 3-ch  miesięcy minimum 1.300,00 zł. </w:t>
      </w:r>
      <w:r w:rsidRPr="00084D5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Suma dochodów  wszystkich poręczycieli powinno stanowić 20% wnioskowanej kwoty. </w:t>
      </w:r>
      <w:r w:rsidR="00DE26E5" w:rsidRPr="00C6355A">
        <w:rPr>
          <w:rFonts w:ascii="Times New Roman" w:hAnsi="Times New Roman" w:cs="Times New Roman"/>
          <w:bCs/>
          <w:sz w:val="20"/>
          <w:szCs w:val="20"/>
        </w:rPr>
        <w:t>W przypadku wybrania pozostałych form, zabezpieczenie nie może być mniejsze niż 150% kwoty wnioskowanej.</w:t>
      </w:r>
    </w:p>
    <w:p w:rsidR="00C75D42" w:rsidRDefault="00873694" w:rsidP="00C75D4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AF36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wrotu równowartości odliczonego lub zwróconego, zgodnie z ustawą z dnia 11 marca 2004 r. o podatku od towarów i usług (Dz. U. z 2011 r. Nr 177, poz. 1054, z </w:t>
      </w:r>
      <w:proofErr w:type="spellStart"/>
      <w:r w:rsidR="00AF36E9">
        <w:rPr>
          <w:rFonts w:ascii="Times New Roman" w:eastAsia="Times New Roman" w:hAnsi="Times New Roman" w:cs="Times New Roman"/>
          <w:sz w:val="20"/>
          <w:szCs w:val="20"/>
          <w:lang w:eastAsia="pl-PL"/>
        </w:rPr>
        <w:t>póżn</w:t>
      </w:r>
      <w:proofErr w:type="spellEnd"/>
      <w:r w:rsidR="00AF36E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podatku naliczonego z tytułu zakupionych towarów i usług sfinansowanych z przyznanych środków:</w:t>
      </w:r>
    </w:p>
    <w:p w:rsidR="00AF36E9" w:rsidRDefault="00AF36E9" w:rsidP="00AF36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w terminie 90 dni od dnia złożenia deklaracji podatkowej dla podatku od towarów i usług, w której wykazano kwotę podatku nalicz</w:t>
      </w:r>
      <w:r w:rsidR="00D4012D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nego z tego tytułu, w przypadku gdy z deklaracji za dany okres rozliczeniowy wynika kwota podatku podlegającego wpłacie do urzędu skarbowego lub kwota do przeniesienia na następny okres rozliczeniowy,</w:t>
      </w:r>
    </w:p>
    <w:p w:rsidR="00AF36E9" w:rsidRPr="00C75D42" w:rsidRDefault="00AF36E9" w:rsidP="00AF36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w terminie 30 dni od dnia dokonania przez urząd skarbowy zwrotu podatku, w przypadku gdy z deklaracji podatkowej dla podatku od towarów i usług za dany okres rozliczeniowy, w której wykazano kwotę podatku naliczonego z tego tytułu, wynika kwota do zwrotu.</w:t>
      </w:r>
    </w:p>
    <w:p w:rsidR="00E01228" w:rsidRPr="00C6355A" w:rsidRDefault="00E01228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oznaczenia działalności gospodarczej w miejscu jej prowadzenia w postaci szyldu informacyjnego,</w:t>
      </w:r>
    </w:p>
    <w:p w:rsidR="00E01228" w:rsidRPr="00C6355A" w:rsidRDefault="00641F24" w:rsidP="00090A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potwierdzenia faktu prowadzenia działalności gospodarczej/rolniczej/wniesienie wkładu do spółdzielni socjalnej przez okres co najmniej 24 miesięcy w terminie jednego miesiąca od upływu wyżej wymienionego okresu poprzez dostarczenie zaświadczenia właściwego urzędu skarbowego. </w:t>
      </w:r>
    </w:p>
    <w:p w:rsidR="004F1368" w:rsidRPr="00C6355A" w:rsidRDefault="004F1368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F24" w:rsidRPr="00C6355A" w:rsidRDefault="00E21EB5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</w:t>
      </w:r>
      <w:r w:rsidR="00641F24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przekazuje środki na wskazany we wniosku rachunek bankowy w terminie 14 dni od daty zawarcia umowy, po uprzednim przedstawieniu</w:t>
      </w:r>
      <w:r w:rsidR="00DE26E5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</w:t>
      </w:r>
      <w:r w:rsidR="00641F24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wnioskodawcę</w:t>
      </w:r>
      <w:r w:rsidR="00DE26E5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odpowiednio</w:t>
      </w:r>
      <w:r w:rsidR="00641F24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641F24" w:rsidRPr="00C6355A" w:rsidRDefault="00641F24" w:rsidP="00090A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dokumentu </w:t>
      </w:r>
      <w:r w:rsidR="00652E3E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uprawniającego</w:t>
      </w: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prowadzenia  działalności gospodarczej,</w:t>
      </w:r>
    </w:p>
    <w:p w:rsidR="00641F24" w:rsidRPr="00C6355A" w:rsidRDefault="00641F24" w:rsidP="00090A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odpisu z Krajowego Rejestru Sądowego,</w:t>
      </w:r>
    </w:p>
    <w:p w:rsidR="00641F24" w:rsidRPr="00C6355A" w:rsidRDefault="00641F24" w:rsidP="00090A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koncesji, zezwolenia lub zaświadczenia o wpisie do rejestru działalności regulowanej,</w:t>
      </w:r>
    </w:p>
    <w:p w:rsidR="00641F24" w:rsidRPr="00C6355A" w:rsidRDefault="00641F24" w:rsidP="00090A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decyzji Prezesa Kasy Rolniczego Ubezpieczenia Społecznego o podleganiu ubezpieczeniu społecznemu rolników,</w:t>
      </w:r>
    </w:p>
    <w:p w:rsidR="00641F24" w:rsidRPr="00C6355A" w:rsidRDefault="00641F24" w:rsidP="00090A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zobowiązanie spółdzielni do przyjęcia wkładu w formie i wysokości planowanej do wniesienia przez Wnioskodawcę.</w:t>
      </w:r>
    </w:p>
    <w:p w:rsidR="00652E3E" w:rsidRPr="00C6355A" w:rsidRDefault="00652E3E" w:rsidP="00090AA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27285" w:rsidRPr="00C6355A" w:rsidRDefault="00641F24" w:rsidP="00090AA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355A">
        <w:rPr>
          <w:rFonts w:ascii="Times New Roman" w:eastAsia="Calibri" w:hAnsi="Times New Roman" w:cs="Times New Roman"/>
          <w:bCs/>
          <w:sz w:val="20"/>
          <w:szCs w:val="20"/>
        </w:rPr>
        <w:t>Wnioskodawca zobowiązany jest do wydatkowania środków w terminie 3 miesięcy do daty wpływu na rachunek bankowy, zgodnie z przeznaczeniem oraz rozliczenia i udokumentowania wydatkowania pobranych środków w ww</w:t>
      </w:r>
      <w:r w:rsidR="004F1368" w:rsidRPr="00C6355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C6355A">
        <w:rPr>
          <w:rFonts w:ascii="Times New Roman" w:eastAsia="Calibri" w:hAnsi="Times New Roman" w:cs="Times New Roman"/>
          <w:bCs/>
          <w:sz w:val="20"/>
          <w:szCs w:val="20"/>
        </w:rPr>
        <w:t xml:space="preserve"> terminie wiarygodnymi dokumentami finansowymi, przedstawiając w PUP dowod</w:t>
      </w:r>
      <w:r w:rsidR="00827285" w:rsidRPr="00C6355A">
        <w:rPr>
          <w:rFonts w:ascii="Times New Roman" w:hAnsi="Times New Roman" w:cs="Times New Roman"/>
          <w:bCs/>
          <w:sz w:val="20"/>
          <w:szCs w:val="20"/>
        </w:rPr>
        <w:t>y zakupu.</w:t>
      </w:r>
    </w:p>
    <w:p w:rsidR="00E01228" w:rsidRPr="00C6355A" w:rsidRDefault="00E01228" w:rsidP="00090AA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rozliczenia środków są faktury VAT, rachunki a w szczególnych przypadkach umowy sprzedaży, z udokumentowanym sposobem płatności, wystawione</w:t>
      </w:r>
      <w:r w:rsidR="00827285" w:rsidRPr="00C63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dniu podpisania umowy.</w:t>
      </w:r>
    </w:p>
    <w:p w:rsidR="00827285" w:rsidRPr="00C6355A" w:rsidRDefault="00827285" w:rsidP="00090AA3">
      <w:pPr>
        <w:tabs>
          <w:tab w:val="left" w:pos="1134"/>
          <w:tab w:val="right" w:leader="dot" w:pos="2835"/>
          <w:tab w:val="right" w:leader="dot" w:pos="4536"/>
        </w:tabs>
        <w:spacing w:after="0" w:line="240" w:lineRule="auto"/>
        <w:ind w:right="-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355A">
        <w:rPr>
          <w:rFonts w:ascii="Times New Roman" w:eastAsia="Calibri" w:hAnsi="Times New Roman" w:cs="Times New Roman"/>
          <w:bCs/>
          <w:sz w:val="20"/>
          <w:szCs w:val="20"/>
        </w:rPr>
        <w:t>W przypadku zakupu sprzętu używanego wnioskodawca jest zobowiązany złożyć</w:t>
      </w:r>
      <w:r w:rsidRPr="00C6355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27285" w:rsidRPr="00C6355A" w:rsidRDefault="00827285" w:rsidP="004F1368">
      <w:pPr>
        <w:pStyle w:val="Akapitzlist"/>
        <w:numPr>
          <w:ilvl w:val="0"/>
          <w:numId w:val="16"/>
        </w:numPr>
        <w:tabs>
          <w:tab w:val="left" w:pos="1134"/>
          <w:tab w:val="right" w:leader="dot" w:pos="2835"/>
          <w:tab w:val="right" w:leader="dot" w:pos="4536"/>
        </w:tabs>
        <w:spacing w:after="0" w:line="240" w:lineRule="auto"/>
        <w:ind w:right="-1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6355A">
        <w:rPr>
          <w:rFonts w:ascii="Times New Roman" w:eastAsia="Calibri" w:hAnsi="Times New Roman" w:cs="Times New Roman"/>
          <w:bCs/>
          <w:sz w:val="20"/>
          <w:szCs w:val="20"/>
        </w:rPr>
        <w:t>dokument dotyczący zakupu ww. sprzętu zawierający dodatkowo numer fabryczny i rok</w:t>
      </w:r>
      <w:r w:rsidR="00DE26E5" w:rsidRPr="00C6355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C6355A">
        <w:rPr>
          <w:rFonts w:ascii="Times New Roman" w:eastAsia="Calibri" w:hAnsi="Times New Roman" w:cs="Times New Roman"/>
          <w:bCs/>
          <w:sz w:val="20"/>
          <w:szCs w:val="20"/>
        </w:rPr>
        <w:t xml:space="preserve"> produkcji,</w:t>
      </w:r>
    </w:p>
    <w:p w:rsidR="00827285" w:rsidRPr="00C6355A" w:rsidRDefault="00827285" w:rsidP="004F1368">
      <w:pPr>
        <w:pStyle w:val="Akapitzlist"/>
        <w:numPr>
          <w:ilvl w:val="0"/>
          <w:numId w:val="16"/>
        </w:numPr>
        <w:tabs>
          <w:tab w:val="left" w:pos="1134"/>
          <w:tab w:val="right" w:leader="dot" w:pos="2835"/>
          <w:tab w:val="right" w:leader="dot" w:pos="4536"/>
        </w:tabs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355A">
        <w:rPr>
          <w:rFonts w:ascii="Times New Roman" w:eastAsia="Calibri" w:hAnsi="Times New Roman" w:cs="Times New Roman"/>
          <w:bCs/>
          <w:sz w:val="20"/>
          <w:szCs w:val="20"/>
        </w:rPr>
        <w:t>oświadczenie potwierdzające spełnienie przez używany środek trwały odpowiednich norm oraz o tym, iż cena nie odbiega od wartości rynkowej i jest niższa niż cena podobnego, nowego sprzętu.</w:t>
      </w:r>
    </w:p>
    <w:p w:rsidR="00827285" w:rsidRDefault="00827285" w:rsidP="00827285">
      <w:pPr>
        <w:tabs>
          <w:tab w:val="left" w:pos="1134"/>
          <w:tab w:val="right" w:leader="dot" w:pos="2835"/>
          <w:tab w:val="right" w:leader="dot" w:pos="4536"/>
        </w:tabs>
        <w:spacing w:after="0" w:line="240" w:lineRule="auto"/>
        <w:ind w:right="-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AA3" w:rsidRDefault="00090AA3" w:rsidP="00090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1368" w:rsidRPr="00FC3196" w:rsidRDefault="004F1368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</w:pPr>
    </w:p>
    <w:p w:rsidR="00090AA3" w:rsidRPr="00FC3196" w:rsidRDefault="00090AA3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</w:pPr>
    </w:p>
    <w:p w:rsidR="00090AA3" w:rsidRPr="00FC3196" w:rsidRDefault="00090AA3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C31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  <w:t>Szczegółowe informacje:</w:t>
      </w:r>
    </w:p>
    <w:p w:rsidR="00090AA3" w:rsidRPr="00FC3196" w:rsidRDefault="00090AA3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C319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Dział Rynku Pracy</w:t>
      </w:r>
    </w:p>
    <w:p w:rsidR="00090AA3" w:rsidRPr="00FC3196" w:rsidRDefault="00090AA3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C31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pok. 22</w:t>
      </w:r>
    </w:p>
    <w:p w:rsidR="00090AA3" w:rsidRPr="00FC3196" w:rsidRDefault="00090AA3" w:rsidP="0009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C31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tel. (0-24) 267 46 65</w:t>
      </w:r>
      <w:r w:rsidR="00B1182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lub 267 46 58 </w:t>
      </w:r>
      <w:r w:rsidRPr="00FC31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</w:p>
    <w:p w:rsidR="00B102A3" w:rsidRPr="00E01228" w:rsidRDefault="00B102A3">
      <w:pPr>
        <w:rPr>
          <w:rFonts w:ascii="Times New Roman" w:hAnsi="Times New Roman" w:cs="Times New Roman"/>
        </w:rPr>
      </w:pPr>
    </w:p>
    <w:sectPr w:rsidR="00B102A3" w:rsidRPr="00E01228" w:rsidSect="00090AA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80A"/>
    <w:multiLevelType w:val="hybridMultilevel"/>
    <w:tmpl w:val="41F02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D64"/>
    <w:multiLevelType w:val="singleLevel"/>
    <w:tmpl w:val="347E4570"/>
    <w:lvl w:ilvl="0">
      <w:start w:val="1"/>
      <w:numFmt w:val="decimal"/>
      <w:lvlText w:val="%1)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2" w15:restartNumberingAfterBreak="0">
    <w:nsid w:val="0D4B3B98"/>
    <w:multiLevelType w:val="hybridMultilevel"/>
    <w:tmpl w:val="5F18B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FC0"/>
    <w:multiLevelType w:val="multilevel"/>
    <w:tmpl w:val="78C80A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923DA"/>
    <w:multiLevelType w:val="hybridMultilevel"/>
    <w:tmpl w:val="DD7E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5E4"/>
    <w:multiLevelType w:val="hybridMultilevel"/>
    <w:tmpl w:val="E2C4324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B76052E"/>
    <w:multiLevelType w:val="hybridMultilevel"/>
    <w:tmpl w:val="B92ED0D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2E5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335B"/>
    <w:multiLevelType w:val="multilevel"/>
    <w:tmpl w:val="BF3ABB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11608"/>
    <w:multiLevelType w:val="multilevel"/>
    <w:tmpl w:val="4B80C1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C36F2"/>
    <w:multiLevelType w:val="hybridMultilevel"/>
    <w:tmpl w:val="3E521B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37DB"/>
    <w:multiLevelType w:val="multilevel"/>
    <w:tmpl w:val="31E8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421"/>
    <w:multiLevelType w:val="hybridMultilevel"/>
    <w:tmpl w:val="44B2BD88"/>
    <w:lvl w:ilvl="0" w:tplc="2EBE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564C6"/>
    <w:multiLevelType w:val="multilevel"/>
    <w:tmpl w:val="D13691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867A1"/>
    <w:multiLevelType w:val="multilevel"/>
    <w:tmpl w:val="EA14A5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F6563"/>
    <w:multiLevelType w:val="hybridMultilevel"/>
    <w:tmpl w:val="0B4CA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91625"/>
    <w:multiLevelType w:val="multilevel"/>
    <w:tmpl w:val="946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F2F57"/>
    <w:multiLevelType w:val="multilevel"/>
    <w:tmpl w:val="CD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28"/>
    <w:rsid w:val="0005370C"/>
    <w:rsid w:val="000752F9"/>
    <w:rsid w:val="00084D5C"/>
    <w:rsid w:val="00090802"/>
    <w:rsid w:val="00090AA3"/>
    <w:rsid w:val="0019672E"/>
    <w:rsid w:val="001C1792"/>
    <w:rsid w:val="001C7041"/>
    <w:rsid w:val="00253E8D"/>
    <w:rsid w:val="00410960"/>
    <w:rsid w:val="004122DD"/>
    <w:rsid w:val="00452796"/>
    <w:rsid w:val="0047423A"/>
    <w:rsid w:val="004A41B5"/>
    <w:rsid w:val="004F1368"/>
    <w:rsid w:val="005C4F99"/>
    <w:rsid w:val="00641F24"/>
    <w:rsid w:val="00652E3E"/>
    <w:rsid w:val="00692729"/>
    <w:rsid w:val="006D3BE2"/>
    <w:rsid w:val="006D43F4"/>
    <w:rsid w:val="007B3316"/>
    <w:rsid w:val="00827285"/>
    <w:rsid w:val="00844D28"/>
    <w:rsid w:val="0084578D"/>
    <w:rsid w:val="00873694"/>
    <w:rsid w:val="00964F32"/>
    <w:rsid w:val="00A161B9"/>
    <w:rsid w:val="00A16ADE"/>
    <w:rsid w:val="00A35995"/>
    <w:rsid w:val="00A416F3"/>
    <w:rsid w:val="00A51C2E"/>
    <w:rsid w:val="00A5592B"/>
    <w:rsid w:val="00AD779F"/>
    <w:rsid w:val="00AE18E7"/>
    <w:rsid w:val="00AE71E9"/>
    <w:rsid w:val="00AF14F4"/>
    <w:rsid w:val="00AF36E9"/>
    <w:rsid w:val="00B102A3"/>
    <w:rsid w:val="00B11821"/>
    <w:rsid w:val="00B4355C"/>
    <w:rsid w:val="00B62C4B"/>
    <w:rsid w:val="00BA1591"/>
    <w:rsid w:val="00BC0EF7"/>
    <w:rsid w:val="00BD2937"/>
    <w:rsid w:val="00C6355A"/>
    <w:rsid w:val="00C75D42"/>
    <w:rsid w:val="00CA4544"/>
    <w:rsid w:val="00CC334F"/>
    <w:rsid w:val="00D048D2"/>
    <w:rsid w:val="00D4012D"/>
    <w:rsid w:val="00DE26E5"/>
    <w:rsid w:val="00E01228"/>
    <w:rsid w:val="00E21EB5"/>
    <w:rsid w:val="00E53084"/>
    <w:rsid w:val="00EC00B1"/>
    <w:rsid w:val="00EC2E89"/>
    <w:rsid w:val="00F03BC7"/>
    <w:rsid w:val="00F13F99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5167E-658E-4A5E-99B4-42C45901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6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45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578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43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jmachnacka</cp:lastModifiedBy>
  <cp:revision>5</cp:revision>
  <cp:lastPrinted>2013-02-28T13:26:00Z</cp:lastPrinted>
  <dcterms:created xsi:type="dcterms:W3CDTF">2016-03-17T07:22:00Z</dcterms:created>
  <dcterms:modified xsi:type="dcterms:W3CDTF">2017-04-10T11:27:00Z</dcterms:modified>
</cp:coreProperties>
</file>